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50" w:rsidRDefault="00001050" w:rsidP="004A6D2F">
      <w:pPr>
        <w:rPr>
          <w:color w:val="FF0000"/>
        </w:rPr>
      </w:pPr>
    </w:p>
    <w:p w:rsidR="00765CAF" w:rsidRPr="00DA1A30" w:rsidRDefault="00765CAF" w:rsidP="004A6D2F">
      <w:pPr>
        <w:rPr>
          <w:color w:val="FF0000"/>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7A5396" w:rsidRDefault="00C34FA4" w:rsidP="004A6D2F">
            <w:pPr>
              <w:rPr>
                <w:rStyle w:val="Firstpagetablebold"/>
                <w:color w:val="auto"/>
              </w:rPr>
            </w:pPr>
            <w:r w:rsidRPr="007A5396">
              <w:rPr>
                <w:rStyle w:val="Firstpagetablebold"/>
                <w:color w:val="auto"/>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A5396" w:rsidRDefault="007A5396" w:rsidP="005D0621">
            <w:pPr>
              <w:rPr>
                <w:b/>
                <w:color w:val="auto"/>
              </w:rPr>
            </w:pPr>
            <w:r w:rsidRPr="007A5396">
              <w:rPr>
                <w:rStyle w:val="Firstpagetablebold"/>
                <w:color w:val="auto"/>
              </w:rPr>
              <w:t>22 July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34FA4" w:rsidP="007A5396">
            <w:pPr>
              <w:rPr>
                <w:rStyle w:val="Firstpagetablebold"/>
              </w:rPr>
            </w:pPr>
            <w:r>
              <w:rPr>
                <w:rStyle w:val="Firstpagetablebold"/>
              </w:rPr>
              <w:t xml:space="preserve">The </w:t>
            </w:r>
            <w:r w:rsidR="007A5396">
              <w:rPr>
                <w:rStyle w:val="Firstpagetablebold"/>
              </w:rPr>
              <w:t>Head of Law and Governance on behalf of the Leader of the 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A5396" w:rsidP="007A5396">
            <w:pPr>
              <w:rPr>
                <w:rStyle w:val="Firstpagetablebold"/>
              </w:rPr>
            </w:pPr>
            <w:r>
              <w:rPr>
                <w:rStyle w:val="Firstpagetablebold"/>
              </w:rPr>
              <w:t xml:space="preserve">Shareholder and Joint Venture Group meeting dates </w:t>
            </w:r>
          </w:p>
        </w:tc>
      </w:tr>
    </w:tbl>
    <w:p w:rsidR="004F20EF" w:rsidRDefault="004F20EF" w:rsidP="00765CAF">
      <w:pPr>
        <w:spacing w:after="0"/>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A5396" w:rsidP="007A5396">
            <w:r>
              <w:t>For Council to note the meeting dates of the Shareholder and Joint Venture Group</w:t>
            </w:r>
          </w:p>
        </w:tc>
      </w:tr>
      <w:tr w:rsidR="00D5547E" w:rsidTr="0080749A">
        <w:tc>
          <w:tcPr>
            <w:tcW w:w="2438" w:type="dxa"/>
            <w:gridSpan w:val="2"/>
            <w:tcBorders>
              <w:top w:val="nil"/>
              <w:left w:val="single" w:sz="8" w:space="0" w:color="000000"/>
              <w:bottom w:val="nil"/>
              <w:right w:val="nil"/>
            </w:tcBorders>
            <w:hideMark/>
          </w:tcPr>
          <w:p w:rsidR="00D5547E" w:rsidRDefault="007A5396">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C34FA4">
            <w:r w:rsidRPr="001356F1">
              <w:t xml:space="preserve">Councillor </w:t>
            </w:r>
            <w:r w:rsidR="00C34FA4">
              <w:t>Susan Brown</w:t>
            </w:r>
            <w:r w:rsidRPr="001356F1">
              <w:t xml:space="preserve">, </w:t>
            </w:r>
            <w:r w:rsidR="00C34FA4">
              <w:t>Leader of the Council</w:t>
            </w:r>
          </w:p>
        </w:tc>
      </w:tr>
      <w:tr w:rsidR="005F7F7E" w:rsidRPr="00975B07" w:rsidTr="00C34FA4">
        <w:trPr>
          <w:trHeight w:val="413"/>
        </w:trPr>
        <w:tc>
          <w:tcPr>
            <w:tcW w:w="8845" w:type="dxa"/>
            <w:gridSpan w:val="3"/>
            <w:tcBorders>
              <w:bottom w:val="single" w:sz="4" w:space="0" w:color="auto"/>
            </w:tcBorders>
          </w:tcPr>
          <w:p w:rsidR="005F7F7E" w:rsidRPr="00975B07" w:rsidRDefault="005F7F7E" w:rsidP="00C34FA4">
            <w:r>
              <w:rPr>
                <w:rStyle w:val="Firstpagetablebold"/>
              </w:rPr>
              <w:t xml:space="preserve">Recommendation(s):That </w:t>
            </w:r>
            <w:r w:rsidR="00C34FA4">
              <w:rPr>
                <w:rStyle w:val="Firstpagetablebold"/>
              </w:rPr>
              <w:t>Council</w:t>
            </w:r>
            <w:r>
              <w:rPr>
                <w:rStyle w:val="Firstpagetablebold"/>
              </w:rPr>
              <w:t xml:space="preserve"> resolves to:</w:t>
            </w:r>
          </w:p>
        </w:tc>
      </w:tr>
      <w:tr w:rsidR="0030208D" w:rsidRPr="00975B07" w:rsidTr="00C34FA4">
        <w:trPr>
          <w:trHeight w:val="283"/>
        </w:trPr>
        <w:tc>
          <w:tcPr>
            <w:tcW w:w="426" w:type="dxa"/>
            <w:tcBorders>
              <w:top w:val="single" w:sz="4" w:space="0" w:color="auto"/>
              <w:left w:val="single" w:sz="4" w:space="0" w:color="auto"/>
              <w:bottom w:val="single" w:sz="4" w:space="0" w:color="auto"/>
              <w:right w:val="nil"/>
            </w:tcBorders>
          </w:tcPr>
          <w:p w:rsidR="0030208D" w:rsidRPr="007A5396" w:rsidRDefault="00046D2B" w:rsidP="004A6D2F">
            <w:r w:rsidRPr="007A5396">
              <w:t>1.</w:t>
            </w:r>
          </w:p>
        </w:tc>
        <w:tc>
          <w:tcPr>
            <w:tcW w:w="8419" w:type="dxa"/>
            <w:gridSpan w:val="2"/>
            <w:tcBorders>
              <w:top w:val="single" w:sz="4" w:space="0" w:color="auto"/>
              <w:left w:val="nil"/>
              <w:bottom w:val="single" w:sz="4" w:space="0" w:color="auto"/>
              <w:right w:val="single" w:sz="4" w:space="0" w:color="auto"/>
            </w:tcBorders>
            <w:shd w:val="clear" w:color="auto" w:fill="auto"/>
          </w:tcPr>
          <w:p w:rsidR="0030208D" w:rsidRPr="007A5396" w:rsidRDefault="007A5396" w:rsidP="00DA1A30">
            <w:r w:rsidRPr="007A5396">
              <w:rPr>
                <w:rStyle w:val="Firstpagetablebold"/>
                <w:b w:val="0"/>
              </w:rPr>
              <w:t>Note the meeting dates of the Shareholder and Joint Venture Group</w:t>
            </w:r>
          </w:p>
        </w:tc>
      </w:tr>
    </w:tbl>
    <w:p w:rsidR="00CE544A" w:rsidRPr="009E51FC" w:rsidRDefault="00CE544A" w:rsidP="00765CAF">
      <w:pPr>
        <w:spacing w:after="0"/>
      </w:pPr>
    </w:p>
    <w:p w:rsidR="0040736F" w:rsidRPr="001356F1" w:rsidRDefault="00F66DCA" w:rsidP="00765CAF">
      <w:pPr>
        <w:pStyle w:val="Heading1"/>
        <w:spacing w:before="120"/>
      </w:pPr>
      <w:r w:rsidRPr="001356F1">
        <w:t>Introduction and b</w:t>
      </w:r>
      <w:r w:rsidR="00151888" w:rsidRPr="001356F1">
        <w:t>ackground</w:t>
      </w:r>
      <w:r w:rsidR="00404032" w:rsidRPr="001356F1">
        <w:t xml:space="preserve"> </w:t>
      </w:r>
    </w:p>
    <w:p w:rsidR="00C75711" w:rsidRPr="00C75711" w:rsidRDefault="000A6F58" w:rsidP="00C75711">
      <w:pPr>
        <w:pStyle w:val="ListParagraph"/>
      </w:pPr>
      <w:r>
        <w:t xml:space="preserve">Since 2016, when the Council created its first companies, periodic </w:t>
      </w:r>
      <w:r w:rsidR="00241380">
        <w:t xml:space="preserve">Shareholder Group </w:t>
      </w:r>
      <w:r>
        <w:t>meetings have been held at which the Council, as shareholder, has been updated on the performance of the companies, has set and agreed new business plans and targets and has exercised its right to make those decisions which are expressly reserved for the shareholder.</w:t>
      </w:r>
      <w:r w:rsidR="00C75711" w:rsidRPr="00C75711">
        <w:t xml:space="preserve"> At the Annual Council meeting on 13 May 2019 the Leader of the Council </w:t>
      </w:r>
      <w:r w:rsidR="00D3233A">
        <w:t>indicated</w:t>
      </w:r>
      <w:r w:rsidR="00C75711" w:rsidRPr="00C75711">
        <w:t xml:space="preserve"> that </w:t>
      </w:r>
      <w:r w:rsidR="00C75711">
        <w:t>the</w:t>
      </w:r>
      <w:r w:rsidR="00C75711" w:rsidRPr="00C75711">
        <w:t xml:space="preserve"> </w:t>
      </w:r>
      <w:r w:rsidR="00C75711">
        <w:t>S</w:t>
      </w:r>
      <w:r w:rsidR="00E125A7">
        <w:t>hareholder for each</w:t>
      </w:r>
      <w:r w:rsidR="00C75711">
        <w:t xml:space="preserve"> company would continue to comprise all members of Cabinet:</w:t>
      </w:r>
    </w:p>
    <w:p w:rsidR="007A5396" w:rsidRDefault="00B551BB" w:rsidP="007A5396">
      <w:pPr>
        <w:pStyle w:val="ListParagraph"/>
        <w:numPr>
          <w:ilvl w:val="0"/>
          <w:numId w:val="34"/>
        </w:numPr>
        <w:tabs>
          <w:tab w:val="clear" w:pos="426"/>
        </w:tabs>
        <w:spacing w:before="120" w:after="0" w:line="259" w:lineRule="auto"/>
        <w:ind w:left="1080"/>
        <w:rPr>
          <w:rFonts w:cs="Arial"/>
        </w:rPr>
      </w:pPr>
      <w:r>
        <w:rPr>
          <w:rFonts w:cs="Arial"/>
        </w:rPr>
        <w:t xml:space="preserve">Oxford Direct Services: </w:t>
      </w:r>
      <w:r w:rsidR="007A5396">
        <w:rPr>
          <w:rFonts w:cs="Arial"/>
        </w:rPr>
        <w:t>Oxford Direct Services Limited (ODSL)</w:t>
      </w:r>
      <w:r w:rsidR="007A5396">
        <w:rPr>
          <w:rFonts w:cs="Arial"/>
          <w:sz w:val="20"/>
        </w:rPr>
        <w:t xml:space="preserve"> </w:t>
      </w:r>
      <w:r w:rsidR="007A5396">
        <w:rPr>
          <w:rFonts w:cs="Arial"/>
        </w:rPr>
        <w:t xml:space="preserve">(Company number </w:t>
      </w:r>
      <w:r w:rsidR="007A5396" w:rsidRPr="007A5396">
        <w:rPr>
          <w:rStyle w:val="Strong"/>
          <w:rFonts w:cs="Arial"/>
          <w:b w:val="0"/>
          <w:color w:val="0B0C0C"/>
          <w:szCs w:val="29"/>
          <w:bdr w:val="none" w:sz="0" w:space="0" w:color="auto" w:frame="1"/>
          <w:shd w:val="clear" w:color="auto" w:fill="FFFFFF"/>
        </w:rPr>
        <w:t>10719222)</w:t>
      </w:r>
      <w:r w:rsidR="007A5396" w:rsidRPr="00486195">
        <w:rPr>
          <w:rFonts w:cs="Arial"/>
          <w:b/>
          <w:sz w:val="20"/>
        </w:rPr>
        <w:t xml:space="preserve"> </w:t>
      </w:r>
      <w:r w:rsidR="007A5396">
        <w:rPr>
          <w:rFonts w:cs="Arial"/>
        </w:rPr>
        <w:t>and Oxford Direct Services Trading Limited (ODSTL) (</w:t>
      </w:r>
      <w:r w:rsidR="007A5396" w:rsidRPr="00486195">
        <w:rPr>
          <w:rFonts w:cs="Arial"/>
          <w:bCs/>
        </w:rPr>
        <w:t>10719214</w:t>
      </w:r>
      <w:r w:rsidR="007A5396">
        <w:rPr>
          <w:rFonts w:cs="Arial"/>
          <w:bCs/>
        </w:rPr>
        <w:t>)</w:t>
      </w:r>
      <w:r w:rsidR="007A5396" w:rsidRPr="00486195">
        <w:rPr>
          <w:rFonts w:cs="Arial"/>
        </w:rPr>
        <w:t xml:space="preserve"> </w:t>
      </w:r>
      <w:r w:rsidR="007A5396">
        <w:rPr>
          <w:rFonts w:cs="Arial"/>
        </w:rPr>
        <w:t xml:space="preserve">– </w:t>
      </w:r>
      <w:r w:rsidR="00BA4392">
        <w:rPr>
          <w:rFonts w:cs="Arial"/>
        </w:rPr>
        <w:t xml:space="preserve">both </w:t>
      </w:r>
      <w:r w:rsidR="007A5396">
        <w:rPr>
          <w:rFonts w:cs="Arial"/>
        </w:rPr>
        <w:t>wholly owned</w:t>
      </w:r>
      <w:r w:rsidR="00BA4392">
        <w:rPr>
          <w:rFonts w:cs="Arial"/>
        </w:rPr>
        <w:t xml:space="preserve"> by the Council</w:t>
      </w:r>
    </w:p>
    <w:p w:rsidR="007A5396" w:rsidRDefault="007A5396" w:rsidP="007A5396">
      <w:pPr>
        <w:pStyle w:val="ListParagraph"/>
        <w:numPr>
          <w:ilvl w:val="0"/>
          <w:numId w:val="34"/>
        </w:numPr>
        <w:tabs>
          <w:tab w:val="clear" w:pos="426"/>
        </w:tabs>
        <w:spacing w:before="120" w:after="0" w:line="259" w:lineRule="auto"/>
        <w:ind w:left="1080"/>
        <w:rPr>
          <w:rFonts w:cs="Arial"/>
        </w:rPr>
      </w:pPr>
      <w:r w:rsidRPr="00833A5B">
        <w:rPr>
          <w:rFonts w:cs="Arial"/>
        </w:rPr>
        <w:t>The Housing Group: Oxford City Housing Limited (OCHL) (</w:t>
      </w:r>
      <w:r w:rsidRPr="00833A5B">
        <w:rPr>
          <w:rFonts w:cs="Arial"/>
          <w:bCs/>
        </w:rPr>
        <w:t>10212716</w:t>
      </w:r>
      <w:r w:rsidRPr="00833A5B">
        <w:rPr>
          <w:rFonts w:cs="Arial"/>
        </w:rPr>
        <w:t>) and its subsidiaries OCH(I)L (</w:t>
      </w:r>
      <w:r w:rsidRPr="00833A5B">
        <w:rPr>
          <w:rFonts w:cs="Arial"/>
          <w:bCs/>
        </w:rPr>
        <w:t>10370637</w:t>
      </w:r>
      <w:r w:rsidRPr="00833A5B">
        <w:rPr>
          <w:rFonts w:cs="Arial"/>
        </w:rPr>
        <w:t>) and OCH(D)L (</w:t>
      </w:r>
      <w:r w:rsidRPr="00833A5B">
        <w:rPr>
          <w:rFonts w:cs="Arial"/>
          <w:bCs/>
        </w:rPr>
        <w:t>10370647</w:t>
      </w:r>
      <w:r w:rsidRPr="00833A5B">
        <w:rPr>
          <w:rFonts w:cs="Arial"/>
        </w:rPr>
        <w:t xml:space="preserve">) </w:t>
      </w:r>
      <w:r>
        <w:rPr>
          <w:rFonts w:cs="Arial"/>
        </w:rPr>
        <w:t>– wholly owned</w:t>
      </w:r>
      <w:r w:rsidR="00BA4392">
        <w:rPr>
          <w:rFonts w:cs="Arial"/>
        </w:rPr>
        <w:t xml:space="preserve"> by OCHL</w:t>
      </w:r>
      <w:r w:rsidR="00241380">
        <w:rPr>
          <w:rFonts w:cs="Arial"/>
        </w:rPr>
        <w:t>, which is wholly owned by the Council</w:t>
      </w:r>
    </w:p>
    <w:p w:rsidR="007A5396" w:rsidRDefault="007A5396" w:rsidP="00FF657E">
      <w:pPr>
        <w:pStyle w:val="ListParagraph"/>
        <w:numPr>
          <w:ilvl w:val="0"/>
          <w:numId w:val="34"/>
        </w:numPr>
        <w:tabs>
          <w:tab w:val="clear" w:pos="426"/>
        </w:tabs>
        <w:spacing w:before="120" w:line="259" w:lineRule="auto"/>
        <w:ind w:left="1077" w:hanging="357"/>
        <w:rPr>
          <w:rFonts w:cs="Arial"/>
        </w:rPr>
      </w:pPr>
      <w:r w:rsidRPr="00833A5B">
        <w:rPr>
          <w:rFonts w:cs="Arial"/>
        </w:rPr>
        <w:t>Oxford West End Development Limited (</w:t>
      </w:r>
      <w:proofErr w:type="spellStart"/>
      <w:r w:rsidRPr="00833A5B">
        <w:rPr>
          <w:rFonts w:cs="Arial"/>
        </w:rPr>
        <w:t>OxWED</w:t>
      </w:r>
      <w:proofErr w:type="spellEnd"/>
      <w:r w:rsidRPr="00833A5B">
        <w:rPr>
          <w:rFonts w:cs="Arial"/>
        </w:rPr>
        <w:t>) (</w:t>
      </w:r>
      <w:r w:rsidRPr="007A5396">
        <w:rPr>
          <w:rStyle w:val="Strong"/>
          <w:rFonts w:cs="Arial"/>
          <w:b w:val="0"/>
          <w:color w:val="0B0C0C"/>
          <w:szCs w:val="29"/>
          <w:bdr w:val="none" w:sz="0" w:space="0" w:color="auto" w:frame="1"/>
          <w:shd w:val="clear" w:color="auto" w:fill="FFFFFF"/>
        </w:rPr>
        <w:t>09957392)</w:t>
      </w:r>
      <w:r w:rsidRPr="00833A5B">
        <w:rPr>
          <w:rFonts w:cs="Arial"/>
        </w:rPr>
        <w:t xml:space="preserve"> </w:t>
      </w:r>
      <w:r>
        <w:rPr>
          <w:rFonts w:cs="Arial"/>
        </w:rPr>
        <w:t>– owned jointly with Nuffield College</w:t>
      </w:r>
    </w:p>
    <w:p w:rsidR="00C75711" w:rsidRDefault="00C75711" w:rsidP="00C75711">
      <w:pPr>
        <w:pStyle w:val="ListParagraph"/>
      </w:pPr>
      <w:r>
        <w:t>The Council also h</w:t>
      </w:r>
      <w:r w:rsidR="00BA4392">
        <w:t>olds a 50%</w:t>
      </w:r>
      <w:r>
        <w:t xml:space="preserve"> interest in the following </w:t>
      </w:r>
      <w:r w:rsidR="00BA4392">
        <w:t xml:space="preserve">Limited Liability Partnership </w:t>
      </w:r>
      <w:r>
        <w:t>joint venture</w:t>
      </w:r>
      <w:r w:rsidR="00D3233A">
        <w:t>,</w:t>
      </w:r>
      <w:r>
        <w:t xml:space="preserve"> in which the Council </w:t>
      </w:r>
      <w:r w:rsidR="00BA4392">
        <w:t xml:space="preserve">and </w:t>
      </w:r>
      <w:r w:rsidR="00E125A7">
        <w:t xml:space="preserve"> Grosvenor Developments Limited</w:t>
      </w:r>
      <w:r>
        <w:t xml:space="preserve"> </w:t>
      </w:r>
      <w:r w:rsidR="00BA4392">
        <w:t xml:space="preserve">are </w:t>
      </w:r>
      <w:r w:rsidR="000A6F58">
        <w:t xml:space="preserve">the only </w:t>
      </w:r>
      <w:r w:rsidR="00BA4392">
        <w:t>members</w:t>
      </w:r>
      <w:r w:rsidR="00D3233A">
        <w:t>:</w:t>
      </w:r>
    </w:p>
    <w:p w:rsidR="00C75711" w:rsidRPr="00FF657E" w:rsidRDefault="00C75711" w:rsidP="00C75711">
      <w:pPr>
        <w:pStyle w:val="ListParagraph"/>
        <w:numPr>
          <w:ilvl w:val="0"/>
          <w:numId w:val="37"/>
        </w:numPr>
      </w:pPr>
      <w:r>
        <w:t>Barton Oxford LLP</w:t>
      </w:r>
      <w:r w:rsidRPr="00FF657E">
        <w:t xml:space="preserve"> (OC368330) </w:t>
      </w:r>
    </w:p>
    <w:p w:rsidR="00B551BB" w:rsidRDefault="004D11E0" w:rsidP="004D11E0">
      <w:pPr>
        <w:pStyle w:val="ListParagraph"/>
      </w:pPr>
      <w:r>
        <w:lastRenderedPageBreak/>
        <w:t xml:space="preserve">When Council agreed </w:t>
      </w:r>
      <w:r w:rsidR="00E125A7">
        <w:t>its</w:t>
      </w:r>
      <w:r w:rsidRPr="004D11E0">
        <w:t xml:space="preserve"> meetings programme</w:t>
      </w:r>
      <w:r>
        <w:t xml:space="preserve"> for 2019/20 </w:t>
      </w:r>
      <w:r w:rsidR="00E125A7">
        <w:t xml:space="preserve">at the Council meeting </w:t>
      </w:r>
      <w:r w:rsidR="005470C1">
        <w:t xml:space="preserve">on 26 November 2018 </w:t>
      </w:r>
      <w:r>
        <w:t>t</w:t>
      </w:r>
      <w:r w:rsidRPr="004D11E0">
        <w:t>he scheduling of Shareholder meetings was delegated to the Committee and Member Services Manager</w:t>
      </w:r>
      <w:r w:rsidR="000035D3">
        <w:t xml:space="preserve">. The intention was that meetings would be held roughly quarterly according to the needs of the companies and the </w:t>
      </w:r>
      <w:r w:rsidR="00241380">
        <w:t xml:space="preserve">shareholder </w:t>
      </w:r>
      <w:r w:rsidR="000035D3">
        <w:t xml:space="preserve">for Oxford Direct Services and the Housing Group and as required for </w:t>
      </w:r>
      <w:proofErr w:type="spellStart"/>
      <w:r w:rsidR="000035D3">
        <w:t>OxWED</w:t>
      </w:r>
      <w:proofErr w:type="spellEnd"/>
      <w:r w:rsidR="000035D3">
        <w:t>.</w:t>
      </w:r>
      <w:r w:rsidR="00C75711">
        <w:t xml:space="preserve"> </w:t>
      </w:r>
      <w:r w:rsidR="000035D3">
        <w:t xml:space="preserve">Issues with the scheduling of Shareholder meetings </w:t>
      </w:r>
      <w:r w:rsidR="00C75711" w:rsidRPr="007F5D94">
        <w:t>ha</w:t>
      </w:r>
      <w:r w:rsidR="00241380">
        <w:t>ve</w:t>
      </w:r>
      <w:r w:rsidR="00C75711" w:rsidRPr="007F5D94">
        <w:t xml:space="preserve"> caused frustrations for members and difficulties securing the availability of attendees, as well as an associated administrative burden on the Council. </w:t>
      </w:r>
      <w:r w:rsidR="00B551BB" w:rsidRPr="00B551BB">
        <w:t>Each time a Shareholder meeting has been rearranged this has similarly impacted the scheduling of a Companies</w:t>
      </w:r>
      <w:r w:rsidR="00D3233A">
        <w:t>’</w:t>
      </w:r>
      <w:r w:rsidR="00B551BB" w:rsidRPr="00B551BB">
        <w:t xml:space="preserve"> Scrutiny Panel meeting, impacting</w:t>
      </w:r>
      <w:r w:rsidR="00B551BB">
        <w:t xml:space="preserve"> a</w:t>
      </w:r>
      <w:r w:rsidR="000035D3">
        <w:t xml:space="preserve"> further set</w:t>
      </w:r>
      <w:r w:rsidR="00B551BB">
        <w:t xml:space="preserve"> </w:t>
      </w:r>
      <w:r w:rsidR="00B551BB" w:rsidRPr="00B551BB">
        <w:t>of members.</w:t>
      </w:r>
    </w:p>
    <w:p w:rsidR="000035D3" w:rsidRPr="000035D3" w:rsidRDefault="005470C1" w:rsidP="00765CAF">
      <w:pPr>
        <w:pStyle w:val="ListParagraph"/>
        <w:ind w:left="357" w:hanging="357"/>
      </w:pPr>
      <w:r>
        <w:t>T</w:t>
      </w:r>
      <w:r w:rsidR="000035D3" w:rsidRPr="000035D3">
        <w:t xml:space="preserve">he Council has received a recommendation from its internal auditors BDO (draft </w:t>
      </w:r>
      <w:r>
        <w:t>r</w:t>
      </w:r>
      <w:r w:rsidR="000035D3" w:rsidRPr="000035D3">
        <w:t xml:space="preserve">eport March 2019) that whilst the Council’s two joint ventures – Barton Oxford LLP and </w:t>
      </w:r>
      <w:proofErr w:type="spellStart"/>
      <w:r w:rsidR="000035D3" w:rsidRPr="000035D3">
        <w:t>O</w:t>
      </w:r>
      <w:r w:rsidR="00EF33AD">
        <w:t>x</w:t>
      </w:r>
      <w:r w:rsidR="000035D3" w:rsidRPr="000035D3">
        <w:t>WED</w:t>
      </w:r>
      <w:proofErr w:type="spellEnd"/>
      <w:r w:rsidR="000035D3" w:rsidRPr="000035D3">
        <w:t xml:space="preserve"> – have a range of governance documentation and processes in place, and informal channels to report progress to the Council, the Council should formalise how both joint ventures report into a “shareholder board”.</w:t>
      </w:r>
    </w:p>
    <w:p w:rsidR="000035D3" w:rsidRPr="00765CAF" w:rsidRDefault="000035D3" w:rsidP="00765CAF">
      <w:pPr>
        <w:rPr>
          <w:b/>
        </w:rPr>
      </w:pPr>
      <w:r w:rsidRPr="00765CAF">
        <w:rPr>
          <w:b/>
        </w:rPr>
        <w:t>Shareholder and Joint Venture Group</w:t>
      </w:r>
    </w:p>
    <w:p w:rsidR="00FF657E" w:rsidRDefault="00B551BB" w:rsidP="000035D3">
      <w:pPr>
        <w:pStyle w:val="ListParagraph"/>
      </w:pPr>
      <w:r>
        <w:t>T</w:t>
      </w:r>
      <w:r w:rsidR="007F5D94">
        <w:t xml:space="preserve">he Leader </w:t>
      </w:r>
      <w:r w:rsidR="00C75711">
        <w:t xml:space="preserve">of the Council </w:t>
      </w:r>
      <w:r w:rsidR="007F5D94">
        <w:t xml:space="preserve">has determined that </w:t>
      </w:r>
      <w:r>
        <w:t xml:space="preserve">from July 2019 </w:t>
      </w:r>
      <w:r w:rsidR="007F5D94">
        <w:t>all the companies</w:t>
      </w:r>
      <w:r w:rsidR="00D3233A">
        <w:t xml:space="preserve"> and corporate joint </w:t>
      </w:r>
      <w:proofErr w:type="gramStart"/>
      <w:r w:rsidR="00D3233A">
        <w:t>ventures</w:t>
      </w:r>
      <w:proofErr w:type="gramEnd"/>
      <w:r w:rsidR="007F5D94">
        <w:t xml:space="preserve"> in which the Council has an interest, including Barton Oxford LLP, will report to a single quarterly meeting.</w:t>
      </w:r>
      <w:r w:rsidR="00C75711">
        <w:t xml:space="preserve"> </w:t>
      </w:r>
      <w:r w:rsidR="000035D3">
        <w:t>T</w:t>
      </w:r>
      <w:r w:rsidR="00C75711">
        <w:t xml:space="preserve">he Shareholder </w:t>
      </w:r>
      <w:r w:rsidR="0054549F">
        <w:t xml:space="preserve">Group </w:t>
      </w:r>
      <w:r>
        <w:t>will be renamed the “Shareholder and Joint Venture Group”</w:t>
      </w:r>
      <w:r w:rsidR="000035D3" w:rsidRPr="000035D3">
        <w:t xml:space="preserve"> </w:t>
      </w:r>
      <w:r w:rsidR="000035D3">
        <w:t>t</w:t>
      </w:r>
      <w:r w:rsidR="000035D3" w:rsidRPr="000035D3">
        <w:t xml:space="preserve">o reflect </w:t>
      </w:r>
      <w:r w:rsidR="005470C1">
        <w:t>the</w:t>
      </w:r>
      <w:r w:rsidR="000035D3" w:rsidRPr="000035D3">
        <w:t xml:space="preserve"> wider remit of this body</w:t>
      </w:r>
      <w:r w:rsidR="00E125A7">
        <w:t xml:space="preserve"> </w:t>
      </w:r>
      <w:r w:rsidR="0054549F">
        <w:t>and thus</w:t>
      </w:r>
      <w:r w:rsidR="00D3233A">
        <w:t xml:space="preserve"> will include </w:t>
      </w:r>
      <w:r w:rsidR="0054549F">
        <w:t>the</w:t>
      </w:r>
      <w:r w:rsidR="00D3233A">
        <w:t xml:space="preserve"> corporate</w:t>
      </w:r>
      <w:r w:rsidR="00E125A7">
        <w:t xml:space="preserve"> joint ventures </w:t>
      </w:r>
      <w:r w:rsidR="00D3233A">
        <w:t>in which techn</w:t>
      </w:r>
      <w:r w:rsidR="0054549F">
        <w:t>ically there is no shareholding</w:t>
      </w:r>
      <w:r w:rsidR="00D3233A">
        <w:t xml:space="preserve">. </w:t>
      </w:r>
      <w:r>
        <w:t xml:space="preserve"> </w:t>
      </w:r>
    </w:p>
    <w:p w:rsidR="00B551BB" w:rsidRDefault="00B551BB" w:rsidP="00765CAF">
      <w:pPr>
        <w:pStyle w:val="ListParagraph"/>
        <w:spacing w:after="240"/>
        <w:ind w:left="357" w:hanging="357"/>
      </w:pPr>
      <w:r>
        <w:t xml:space="preserve">Council is asked to note the meeting dates of the Shareholder and Joint Venture Group as set out </w:t>
      </w:r>
      <w:r w:rsidR="00C60BD3">
        <w:t xml:space="preserve">in Table 1 </w:t>
      </w:r>
      <w:r>
        <w:t xml:space="preserve">below. </w:t>
      </w:r>
      <w:r w:rsidR="00C60BD3">
        <w:t>These dates have been set following consultation with the Company Secretar</w:t>
      </w:r>
      <w:r w:rsidR="005470C1">
        <w:t>y for each company</w:t>
      </w:r>
      <w:r w:rsidR="00C60BD3">
        <w:t xml:space="preserve"> and the </w:t>
      </w:r>
      <w:r w:rsidR="005470C1">
        <w:t xml:space="preserve">Council’s </w:t>
      </w:r>
      <w:r w:rsidR="00C60BD3">
        <w:t>Head of Financial Services, having regard to company reporting cycles</w:t>
      </w:r>
      <w:r w:rsidR="00E125A7">
        <w:t>, and agreed by the Leader of the Council</w:t>
      </w:r>
      <w:r w:rsidR="00C60BD3">
        <w:t>.</w:t>
      </w:r>
      <w:r w:rsidR="004D11E0" w:rsidRPr="004D11E0">
        <w:t xml:space="preserve"> Companies Scrutiny Panel meeting dates will also be set to fit with this meeting cycle.</w:t>
      </w:r>
      <w:r w:rsidR="00C60BD3">
        <w:t xml:space="preserve"> </w:t>
      </w:r>
      <w:r w:rsidRPr="00B551BB">
        <w:t>In future years, these</w:t>
      </w:r>
      <w:r>
        <w:t xml:space="preserve"> meetings will</w:t>
      </w:r>
      <w:r w:rsidRPr="00B551BB">
        <w:t xml:space="preserve"> be fixed as part of the</w:t>
      </w:r>
      <w:r>
        <w:t xml:space="preserve"> annual</w:t>
      </w:r>
      <w:r w:rsidRPr="00B551BB">
        <w:t xml:space="preserve"> process for setting the </w:t>
      </w:r>
      <w:r>
        <w:t>C</w:t>
      </w:r>
      <w:r w:rsidRPr="00B551BB">
        <w:t xml:space="preserve">ouncil </w:t>
      </w:r>
      <w:r>
        <w:t>and committee meetings programme</w:t>
      </w:r>
      <w:r w:rsidRPr="00B551BB">
        <w:t>.</w:t>
      </w:r>
    </w:p>
    <w:p w:rsidR="00B551BB" w:rsidRPr="00C60BD3" w:rsidRDefault="00C60BD3" w:rsidP="00C60BD3">
      <w:pPr>
        <w:spacing w:after="0"/>
        <w:ind w:left="360" w:hanging="360"/>
        <w:rPr>
          <w:b/>
        </w:rPr>
      </w:pPr>
      <w:r w:rsidRPr="00C60BD3">
        <w:rPr>
          <w:b/>
        </w:rPr>
        <w:t>Table 1: Shareholder and Joint Venture Group meetings programme 2019/20</w:t>
      </w:r>
    </w:p>
    <w:tbl>
      <w:tblPr>
        <w:tblW w:w="9746" w:type="dxa"/>
        <w:tblCellMar>
          <w:left w:w="0" w:type="dxa"/>
          <w:right w:w="0" w:type="dxa"/>
        </w:tblCellMar>
        <w:tblLook w:val="04A0" w:firstRow="1" w:lastRow="0" w:firstColumn="1" w:lastColumn="0" w:noHBand="0" w:noVBand="1"/>
      </w:tblPr>
      <w:tblGrid>
        <w:gridCol w:w="1668"/>
        <w:gridCol w:w="1701"/>
        <w:gridCol w:w="1559"/>
        <w:gridCol w:w="4818"/>
      </w:tblGrid>
      <w:tr w:rsidR="001A0E8F" w:rsidRPr="00B551BB" w:rsidTr="00765CAF">
        <w:tc>
          <w:tcPr>
            <w:tcW w:w="16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A0E8F" w:rsidRPr="00B551BB" w:rsidRDefault="001A0E8F" w:rsidP="00B551BB">
            <w:pPr>
              <w:spacing w:after="0"/>
              <w:rPr>
                <w:rFonts w:eastAsia="Calibri" w:cs="Arial"/>
                <w:b/>
                <w:bCs/>
                <w:color w:val="auto"/>
                <w:sz w:val="22"/>
                <w:lang w:eastAsia="en-US"/>
              </w:rPr>
            </w:pPr>
            <w:r>
              <w:rPr>
                <w:rFonts w:eastAsia="Calibri" w:cs="Arial"/>
                <w:b/>
                <w:bCs/>
                <w:color w:val="auto"/>
                <w:sz w:val="22"/>
                <w:lang w:eastAsia="en-US"/>
              </w:rPr>
              <w:t>M</w:t>
            </w:r>
            <w:r w:rsidRPr="00B551BB">
              <w:rPr>
                <w:rFonts w:eastAsia="Calibri" w:cs="Arial"/>
                <w:b/>
                <w:bCs/>
                <w:color w:val="auto"/>
                <w:sz w:val="22"/>
                <w:lang w:eastAsia="en-US"/>
              </w:rPr>
              <w:t>eeting date</w:t>
            </w:r>
          </w:p>
          <w:p w:rsidR="001A0E8F" w:rsidRPr="00B551BB" w:rsidRDefault="001A0E8F" w:rsidP="00B551BB">
            <w:pPr>
              <w:spacing w:after="0"/>
              <w:rPr>
                <w:rFonts w:eastAsia="Calibri" w:cs="Arial"/>
                <w:b/>
                <w:bCs/>
                <w:color w:val="auto"/>
                <w:sz w:val="22"/>
                <w:lang w:eastAsia="en-US"/>
              </w:rPr>
            </w:pP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rsidR="001A0E8F" w:rsidRPr="00B551BB" w:rsidRDefault="001A0E8F" w:rsidP="00BF7687">
            <w:pPr>
              <w:spacing w:after="0"/>
              <w:rPr>
                <w:rFonts w:eastAsia="Calibri" w:cs="Arial"/>
                <w:b/>
                <w:bCs/>
                <w:color w:val="auto"/>
                <w:sz w:val="22"/>
                <w:lang w:eastAsia="en-US"/>
              </w:rPr>
            </w:pPr>
            <w:r w:rsidRPr="00B551BB">
              <w:rPr>
                <w:rFonts w:eastAsia="Calibri" w:cs="Arial"/>
                <w:b/>
                <w:bCs/>
                <w:color w:val="auto"/>
                <w:sz w:val="22"/>
                <w:lang w:eastAsia="en-US"/>
              </w:rPr>
              <w:t xml:space="preserve">Companies </w:t>
            </w:r>
            <w:r>
              <w:rPr>
                <w:rFonts w:eastAsia="Calibri" w:cs="Arial"/>
                <w:b/>
                <w:bCs/>
                <w:color w:val="auto"/>
                <w:sz w:val="22"/>
                <w:lang w:eastAsia="en-US"/>
              </w:rPr>
              <w:t xml:space="preserve">Scrutiny </w:t>
            </w:r>
            <w:r w:rsidRPr="00B551BB">
              <w:rPr>
                <w:rFonts w:eastAsia="Calibri" w:cs="Arial"/>
                <w:b/>
                <w:bCs/>
                <w:color w:val="auto"/>
                <w:sz w:val="22"/>
                <w:lang w:eastAsia="en-US"/>
              </w:rPr>
              <w:t xml:space="preserve">Panel </w:t>
            </w:r>
            <w:r>
              <w:rPr>
                <w:rFonts w:eastAsia="Calibri" w:cs="Arial"/>
                <w:b/>
                <w:bCs/>
                <w:color w:val="auto"/>
                <w:sz w:val="22"/>
                <w:lang w:eastAsia="en-US"/>
              </w:rPr>
              <w:t>meeting</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A0E8F" w:rsidRPr="00B551BB" w:rsidRDefault="001A0E8F" w:rsidP="00BF7687">
            <w:pPr>
              <w:spacing w:after="0"/>
              <w:rPr>
                <w:rFonts w:eastAsia="Calibri" w:cs="Arial"/>
                <w:b/>
                <w:bCs/>
                <w:color w:val="auto"/>
                <w:sz w:val="22"/>
                <w:lang w:eastAsia="en-US"/>
              </w:rPr>
            </w:pPr>
            <w:r w:rsidRPr="00B551BB">
              <w:rPr>
                <w:rFonts w:eastAsia="Calibri" w:cs="Arial"/>
                <w:b/>
                <w:bCs/>
                <w:color w:val="auto"/>
                <w:sz w:val="22"/>
                <w:lang w:eastAsia="en-US"/>
              </w:rPr>
              <w:t>Agenda publication</w:t>
            </w:r>
          </w:p>
        </w:tc>
        <w:tc>
          <w:tcPr>
            <w:tcW w:w="48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A0E8F" w:rsidRPr="00B551BB" w:rsidRDefault="001A0E8F" w:rsidP="00B551BB">
            <w:pPr>
              <w:spacing w:after="0"/>
              <w:rPr>
                <w:rFonts w:eastAsia="Calibri" w:cs="Arial"/>
                <w:b/>
                <w:bCs/>
                <w:color w:val="auto"/>
                <w:sz w:val="22"/>
                <w:lang w:eastAsia="en-US"/>
              </w:rPr>
            </w:pPr>
            <w:r w:rsidRPr="00B551BB">
              <w:rPr>
                <w:rFonts w:eastAsia="Calibri" w:cs="Arial"/>
                <w:b/>
                <w:bCs/>
                <w:color w:val="auto"/>
                <w:sz w:val="22"/>
                <w:lang w:eastAsia="en-US"/>
              </w:rPr>
              <w:t xml:space="preserve">Business </w:t>
            </w:r>
          </w:p>
        </w:tc>
      </w:tr>
      <w:tr w:rsidR="001A0E8F" w:rsidRPr="00B551BB" w:rsidTr="00765CA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 xml:space="preserve">23 July 2019 </w:t>
            </w:r>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6.00pm</w:t>
            </w:r>
          </w:p>
          <w:p w:rsidR="001A0E8F" w:rsidRPr="00B551BB" w:rsidRDefault="001A0E8F" w:rsidP="00B551BB">
            <w:pPr>
              <w:spacing w:after="0"/>
              <w:rPr>
                <w:rFonts w:eastAsia="Calibri" w:cs="Arial"/>
                <w:color w:val="auto"/>
                <w:sz w:val="22"/>
                <w:lang w:eastAsia="en-US"/>
              </w:rPr>
            </w:pPr>
          </w:p>
        </w:tc>
        <w:tc>
          <w:tcPr>
            <w:tcW w:w="1701" w:type="dxa"/>
            <w:tcBorders>
              <w:top w:val="single" w:sz="8" w:space="0" w:color="auto"/>
              <w:left w:val="nil"/>
              <w:bottom w:val="single" w:sz="8" w:space="0" w:color="auto"/>
              <w:right w:val="single" w:sz="8" w:space="0" w:color="auto"/>
            </w:tcBorders>
          </w:tcPr>
          <w:p w:rsidR="001A0E8F" w:rsidRPr="00B551BB" w:rsidRDefault="001A0E8F" w:rsidP="00BF7687">
            <w:pPr>
              <w:spacing w:after="0"/>
              <w:rPr>
                <w:rFonts w:eastAsia="Calibri" w:cs="Arial"/>
                <w:color w:val="auto"/>
                <w:sz w:val="22"/>
                <w:lang w:eastAsia="en-US"/>
              </w:rPr>
            </w:pPr>
            <w:r w:rsidRPr="00B551BB">
              <w:rPr>
                <w:rFonts w:eastAsia="Calibri" w:cs="Arial"/>
                <w:color w:val="auto"/>
                <w:sz w:val="22"/>
                <w:lang w:eastAsia="en-US"/>
              </w:rPr>
              <w:t xml:space="preserve">16 July </w:t>
            </w:r>
            <w:r>
              <w:rPr>
                <w:rFonts w:eastAsia="Calibri" w:cs="Arial"/>
                <w:color w:val="auto"/>
                <w:sz w:val="22"/>
                <w:lang w:eastAsia="en-US"/>
              </w:rPr>
              <w:t>2019</w:t>
            </w:r>
          </w:p>
          <w:p w:rsidR="001A0E8F" w:rsidRPr="00B551BB" w:rsidRDefault="001A0E8F" w:rsidP="00BF7687">
            <w:pPr>
              <w:spacing w:after="0"/>
              <w:rPr>
                <w:rFonts w:eastAsia="Calibri" w:cs="Arial"/>
                <w:color w:val="auto"/>
                <w:sz w:val="22"/>
                <w:lang w:eastAsia="en-US"/>
              </w:rPr>
            </w:pPr>
          </w:p>
          <w:p w:rsidR="001A0E8F" w:rsidRPr="00B551BB" w:rsidRDefault="001A0E8F" w:rsidP="00BF7687">
            <w:pPr>
              <w:spacing w:after="0"/>
              <w:rPr>
                <w:rFonts w:eastAsia="Calibri" w:cs="Arial"/>
                <w:color w:val="auto"/>
                <w:sz w:val="22"/>
                <w:lang w:eastAsia="en-US"/>
              </w:rPr>
            </w:pPr>
            <w:r w:rsidRPr="00B551BB">
              <w:rPr>
                <w:rFonts w:eastAsia="Calibri" w:cs="Arial"/>
                <w:color w:val="auto"/>
                <w:sz w:val="22"/>
                <w:lang w:eastAsia="en-US"/>
              </w:rPr>
              <w:t>5.30pm</w:t>
            </w:r>
          </w:p>
          <w:p w:rsidR="001A0E8F" w:rsidRPr="00B551BB" w:rsidRDefault="001A0E8F" w:rsidP="00BF7687">
            <w:pPr>
              <w:spacing w:after="0"/>
              <w:rPr>
                <w:rFonts w:eastAsia="Calibri" w:cs="Arial"/>
                <w:bCs/>
                <w:color w:val="auto"/>
                <w:sz w:val="22"/>
                <w:lang w:eastAsia="en-US"/>
              </w:rPr>
            </w:pPr>
          </w:p>
        </w:tc>
        <w:tc>
          <w:tcPr>
            <w:tcW w:w="1559" w:type="dxa"/>
            <w:tcBorders>
              <w:top w:val="single" w:sz="8" w:space="0" w:color="auto"/>
              <w:left w:val="single" w:sz="8" w:space="0" w:color="auto"/>
              <w:bottom w:val="single" w:sz="8" w:space="0" w:color="auto"/>
              <w:right w:val="single" w:sz="8" w:space="0" w:color="auto"/>
            </w:tcBorders>
          </w:tcPr>
          <w:p w:rsidR="001A0E8F" w:rsidRPr="00B551BB" w:rsidRDefault="001A0E8F" w:rsidP="00BF7687">
            <w:pPr>
              <w:spacing w:after="0"/>
              <w:rPr>
                <w:rFonts w:eastAsia="Calibri" w:cs="Arial"/>
                <w:color w:val="auto"/>
                <w:sz w:val="22"/>
                <w:lang w:eastAsia="en-US"/>
              </w:rPr>
            </w:pPr>
            <w:r w:rsidRPr="00B551BB">
              <w:rPr>
                <w:rFonts w:eastAsia="Calibri" w:cs="Arial"/>
                <w:color w:val="auto"/>
                <w:sz w:val="22"/>
                <w:lang w:eastAsia="en-US"/>
              </w:rPr>
              <w:t>15 July</w:t>
            </w:r>
            <w:r>
              <w:rPr>
                <w:rFonts w:eastAsia="Calibri" w:cs="Arial"/>
                <w:color w:val="auto"/>
                <w:sz w:val="22"/>
                <w:lang w:eastAsia="en-US"/>
              </w:rPr>
              <w:t xml:space="preserve"> 2019</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Annual Report &amp; Accounts for O</w:t>
            </w:r>
            <w:r>
              <w:rPr>
                <w:rFonts w:eastAsia="Calibri" w:cs="Arial"/>
                <w:color w:val="auto"/>
                <w:sz w:val="22"/>
                <w:lang w:eastAsia="en-US"/>
              </w:rPr>
              <w:t xml:space="preserve">xford </w:t>
            </w:r>
            <w:r w:rsidRPr="00B551BB">
              <w:rPr>
                <w:rFonts w:eastAsia="Calibri" w:cs="Arial"/>
                <w:color w:val="auto"/>
                <w:sz w:val="22"/>
                <w:lang w:eastAsia="en-US"/>
              </w:rPr>
              <w:t>D</w:t>
            </w:r>
            <w:r>
              <w:rPr>
                <w:rFonts w:eastAsia="Calibri" w:cs="Arial"/>
                <w:color w:val="auto"/>
                <w:sz w:val="22"/>
                <w:lang w:eastAsia="en-US"/>
              </w:rPr>
              <w:t xml:space="preserve">irect </w:t>
            </w:r>
            <w:r w:rsidRPr="00B551BB">
              <w:rPr>
                <w:rFonts w:eastAsia="Calibri" w:cs="Arial"/>
                <w:color w:val="auto"/>
                <w:sz w:val="22"/>
                <w:lang w:eastAsia="en-US"/>
              </w:rPr>
              <w:t>S</w:t>
            </w:r>
            <w:r>
              <w:rPr>
                <w:rFonts w:eastAsia="Calibri" w:cs="Arial"/>
                <w:color w:val="auto"/>
                <w:sz w:val="22"/>
                <w:lang w:eastAsia="en-US"/>
              </w:rPr>
              <w:t>ervices</w:t>
            </w:r>
            <w:r w:rsidRPr="00B551BB">
              <w:rPr>
                <w:rFonts w:eastAsia="Calibri" w:cs="Arial"/>
                <w:color w:val="auto"/>
                <w:sz w:val="22"/>
                <w:lang w:eastAsia="en-US"/>
              </w:rPr>
              <w:t xml:space="preserve"> and Housing Group</w:t>
            </w:r>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Any matters for shareholder decision or consideration</w:t>
            </w:r>
          </w:p>
        </w:tc>
      </w:tr>
      <w:tr w:rsidR="001A0E8F" w:rsidRPr="00B551BB" w:rsidTr="00765CA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25 September 2019</w:t>
            </w:r>
          </w:p>
          <w:p w:rsidR="001A0E8F" w:rsidRPr="00B551BB" w:rsidRDefault="001A0E8F" w:rsidP="00B551BB">
            <w:pPr>
              <w:spacing w:after="0"/>
              <w:rPr>
                <w:rFonts w:eastAsia="Calibri" w:cs="Arial"/>
                <w:color w:val="auto"/>
                <w:sz w:val="22"/>
                <w:lang w:eastAsia="en-US"/>
              </w:rPr>
            </w:pPr>
          </w:p>
          <w:p w:rsidR="001A0E8F" w:rsidRPr="00B551BB" w:rsidRDefault="001A0E8F" w:rsidP="00EF33AD">
            <w:pPr>
              <w:spacing w:after="0"/>
              <w:rPr>
                <w:rFonts w:eastAsia="Calibri" w:cs="Arial"/>
                <w:color w:val="auto"/>
                <w:sz w:val="22"/>
                <w:lang w:eastAsia="en-US"/>
              </w:rPr>
            </w:pPr>
            <w:r w:rsidRPr="00B551BB">
              <w:rPr>
                <w:rFonts w:eastAsia="Calibri" w:cs="Arial"/>
                <w:color w:val="auto"/>
                <w:sz w:val="22"/>
                <w:lang w:eastAsia="en-US"/>
              </w:rPr>
              <w:t xml:space="preserve">6.00pm </w:t>
            </w:r>
          </w:p>
        </w:tc>
        <w:tc>
          <w:tcPr>
            <w:tcW w:w="1701" w:type="dxa"/>
            <w:tcBorders>
              <w:top w:val="single" w:sz="8" w:space="0" w:color="auto"/>
              <w:left w:val="nil"/>
              <w:bottom w:val="single" w:sz="8" w:space="0" w:color="auto"/>
              <w:right w:val="single" w:sz="8" w:space="0" w:color="auto"/>
            </w:tcBorders>
          </w:tcPr>
          <w:p w:rsidR="001A0E8F" w:rsidRPr="00B551BB" w:rsidRDefault="001A0E8F" w:rsidP="00BF7687">
            <w:pPr>
              <w:spacing w:after="0"/>
              <w:rPr>
                <w:rFonts w:eastAsia="Calibri" w:cs="Arial"/>
                <w:bCs/>
                <w:color w:val="auto"/>
                <w:sz w:val="22"/>
                <w:lang w:eastAsia="en-US"/>
              </w:rPr>
            </w:pPr>
            <w:r w:rsidRPr="00B551BB">
              <w:rPr>
                <w:rFonts w:eastAsia="Calibri" w:cs="Arial"/>
                <w:bCs/>
                <w:color w:val="auto"/>
                <w:sz w:val="22"/>
                <w:lang w:eastAsia="en-US"/>
              </w:rPr>
              <w:t>23 Sept</w:t>
            </w:r>
            <w:r>
              <w:rPr>
                <w:rFonts w:eastAsia="Calibri" w:cs="Arial"/>
                <w:bCs/>
                <w:color w:val="auto"/>
                <w:sz w:val="22"/>
                <w:lang w:eastAsia="en-US"/>
              </w:rPr>
              <w:t>ember 2019</w:t>
            </w:r>
            <w:r w:rsidRPr="00B551BB">
              <w:rPr>
                <w:rFonts w:eastAsia="Calibri" w:cs="Arial"/>
                <w:bCs/>
                <w:color w:val="auto"/>
                <w:sz w:val="22"/>
                <w:lang w:eastAsia="en-US"/>
              </w:rPr>
              <w:t xml:space="preserve"> (TBC)</w:t>
            </w:r>
          </w:p>
          <w:p w:rsidR="001A0E8F" w:rsidRPr="00B551BB" w:rsidRDefault="001A0E8F" w:rsidP="00BF7687">
            <w:pPr>
              <w:spacing w:after="0"/>
              <w:rPr>
                <w:rFonts w:eastAsia="Calibri" w:cs="Arial"/>
                <w:bCs/>
                <w:color w:val="auto"/>
                <w:sz w:val="22"/>
                <w:lang w:eastAsia="en-US"/>
              </w:rPr>
            </w:pPr>
          </w:p>
        </w:tc>
        <w:tc>
          <w:tcPr>
            <w:tcW w:w="1559" w:type="dxa"/>
            <w:tcBorders>
              <w:top w:val="single" w:sz="8" w:space="0" w:color="auto"/>
              <w:left w:val="single" w:sz="8" w:space="0" w:color="auto"/>
              <w:bottom w:val="single" w:sz="8" w:space="0" w:color="auto"/>
              <w:right w:val="single" w:sz="8" w:space="0" w:color="auto"/>
            </w:tcBorders>
          </w:tcPr>
          <w:p w:rsidR="001A0E8F" w:rsidRPr="00B551BB" w:rsidRDefault="001A0E8F" w:rsidP="00BF7687">
            <w:pPr>
              <w:spacing w:after="0"/>
              <w:rPr>
                <w:rFonts w:eastAsia="Calibri" w:cs="Arial"/>
                <w:color w:val="auto"/>
                <w:sz w:val="22"/>
                <w:lang w:eastAsia="en-US"/>
              </w:rPr>
            </w:pPr>
            <w:r w:rsidRPr="00B551BB">
              <w:rPr>
                <w:rFonts w:eastAsia="Calibri" w:cs="Arial"/>
                <w:color w:val="auto"/>
                <w:sz w:val="22"/>
                <w:lang w:eastAsia="en-US"/>
              </w:rPr>
              <w:t>17 September</w:t>
            </w:r>
            <w:r>
              <w:rPr>
                <w:rFonts w:eastAsia="Calibri" w:cs="Arial"/>
                <w:color w:val="auto"/>
                <w:sz w:val="22"/>
                <w:lang w:eastAsia="en-US"/>
              </w:rPr>
              <w:t xml:space="preserve"> 2019</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 xml:space="preserve">Q1 Performance reports for </w:t>
            </w:r>
            <w:r w:rsidRPr="00C60BD3">
              <w:rPr>
                <w:rFonts w:eastAsia="Calibri" w:cs="Arial"/>
                <w:color w:val="auto"/>
                <w:sz w:val="22"/>
                <w:lang w:eastAsia="en-US"/>
              </w:rPr>
              <w:t>Oxford Direct Services</w:t>
            </w:r>
            <w:r w:rsidR="007B0BAB">
              <w:rPr>
                <w:rFonts w:eastAsia="Calibri" w:cs="Arial"/>
                <w:color w:val="auto"/>
                <w:sz w:val="22"/>
                <w:lang w:eastAsia="en-US"/>
              </w:rPr>
              <w:t>, Housing Group,</w:t>
            </w:r>
            <w:r w:rsidRPr="00B551BB">
              <w:rPr>
                <w:rFonts w:eastAsia="Calibri" w:cs="Arial"/>
                <w:color w:val="auto"/>
                <w:sz w:val="22"/>
                <w:lang w:eastAsia="en-US"/>
              </w:rPr>
              <w:t xml:space="preserve"> Barton</w:t>
            </w:r>
            <w:r w:rsidR="007B0BAB">
              <w:rPr>
                <w:rFonts w:eastAsia="Calibri" w:cs="Arial"/>
                <w:color w:val="auto"/>
                <w:sz w:val="22"/>
                <w:lang w:eastAsia="en-US"/>
              </w:rPr>
              <w:t xml:space="preserve"> and </w:t>
            </w:r>
            <w:proofErr w:type="spellStart"/>
            <w:r w:rsidR="007B0BAB">
              <w:rPr>
                <w:rFonts w:eastAsia="Calibri" w:cs="Arial"/>
                <w:color w:val="auto"/>
                <w:sz w:val="22"/>
                <w:lang w:eastAsia="en-US"/>
              </w:rPr>
              <w:t>OxWED</w:t>
            </w:r>
            <w:proofErr w:type="spellEnd"/>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Any matters for shareholder decision or consideration</w:t>
            </w:r>
          </w:p>
        </w:tc>
      </w:tr>
      <w:tr w:rsidR="001A0E8F" w:rsidRPr="00B551BB" w:rsidTr="00765CA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 xml:space="preserve">19 November 2019 </w:t>
            </w:r>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6.00pm</w:t>
            </w:r>
          </w:p>
        </w:tc>
        <w:tc>
          <w:tcPr>
            <w:tcW w:w="1701" w:type="dxa"/>
            <w:tcBorders>
              <w:top w:val="single" w:sz="8" w:space="0" w:color="auto"/>
              <w:left w:val="nil"/>
              <w:bottom w:val="single" w:sz="8" w:space="0" w:color="auto"/>
              <w:right w:val="single" w:sz="8" w:space="0" w:color="auto"/>
            </w:tcBorders>
          </w:tcPr>
          <w:p w:rsidR="001A0E8F" w:rsidRDefault="001A0E8F" w:rsidP="00BF7687">
            <w:pPr>
              <w:spacing w:after="0"/>
              <w:rPr>
                <w:rFonts w:eastAsia="Calibri" w:cs="Arial"/>
                <w:bCs/>
                <w:color w:val="auto"/>
                <w:sz w:val="22"/>
                <w:lang w:eastAsia="en-US"/>
              </w:rPr>
            </w:pPr>
            <w:r>
              <w:rPr>
                <w:rFonts w:eastAsia="Calibri" w:cs="Arial"/>
                <w:bCs/>
                <w:color w:val="auto"/>
                <w:sz w:val="22"/>
                <w:lang w:eastAsia="en-US"/>
              </w:rPr>
              <w:t>14</w:t>
            </w:r>
            <w:r w:rsidRPr="00B551BB">
              <w:rPr>
                <w:rFonts w:eastAsia="Calibri" w:cs="Arial"/>
                <w:bCs/>
                <w:color w:val="auto"/>
                <w:sz w:val="22"/>
                <w:lang w:eastAsia="en-US"/>
              </w:rPr>
              <w:t xml:space="preserve"> Nov</w:t>
            </w:r>
            <w:r>
              <w:rPr>
                <w:rFonts w:eastAsia="Calibri" w:cs="Arial"/>
                <w:bCs/>
                <w:color w:val="auto"/>
                <w:sz w:val="22"/>
                <w:lang w:eastAsia="en-US"/>
              </w:rPr>
              <w:t>ember 2019</w:t>
            </w:r>
          </w:p>
          <w:p w:rsidR="001A0E8F" w:rsidRDefault="001A0E8F" w:rsidP="00BF7687">
            <w:pPr>
              <w:spacing w:after="0"/>
              <w:rPr>
                <w:rFonts w:eastAsia="Calibri" w:cs="Arial"/>
                <w:bCs/>
                <w:color w:val="auto"/>
                <w:sz w:val="22"/>
                <w:lang w:eastAsia="en-US"/>
              </w:rPr>
            </w:pPr>
          </w:p>
          <w:p w:rsidR="001A0E8F" w:rsidRPr="00B551BB" w:rsidRDefault="001A0E8F" w:rsidP="00BF7687">
            <w:pPr>
              <w:spacing w:after="0"/>
              <w:rPr>
                <w:rFonts w:eastAsia="Calibri" w:cs="Arial"/>
                <w:bCs/>
                <w:color w:val="auto"/>
                <w:sz w:val="22"/>
                <w:lang w:eastAsia="en-US"/>
              </w:rPr>
            </w:pPr>
            <w:r>
              <w:rPr>
                <w:rFonts w:eastAsia="Calibri" w:cs="Arial"/>
                <w:bCs/>
                <w:color w:val="auto"/>
                <w:sz w:val="22"/>
                <w:lang w:eastAsia="en-US"/>
              </w:rPr>
              <w:t>6.00pm</w:t>
            </w:r>
          </w:p>
        </w:tc>
        <w:tc>
          <w:tcPr>
            <w:tcW w:w="1559" w:type="dxa"/>
            <w:tcBorders>
              <w:top w:val="single" w:sz="8" w:space="0" w:color="auto"/>
              <w:left w:val="single" w:sz="8" w:space="0" w:color="auto"/>
              <w:bottom w:val="single" w:sz="8" w:space="0" w:color="auto"/>
              <w:right w:val="single" w:sz="8" w:space="0" w:color="auto"/>
            </w:tcBorders>
          </w:tcPr>
          <w:p w:rsidR="001A0E8F" w:rsidRPr="00B551BB" w:rsidRDefault="001A0E8F" w:rsidP="00BF7687">
            <w:pPr>
              <w:spacing w:after="0"/>
              <w:rPr>
                <w:rFonts w:eastAsia="Calibri" w:cs="Arial"/>
                <w:color w:val="auto"/>
                <w:sz w:val="22"/>
                <w:lang w:eastAsia="en-US"/>
              </w:rPr>
            </w:pPr>
            <w:r w:rsidRPr="00B551BB">
              <w:rPr>
                <w:rFonts w:eastAsia="Calibri" w:cs="Arial"/>
                <w:color w:val="auto"/>
                <w:sz w:val="22"/>
                <w:lang w:eastAsia="en-US"/>
              </w:rPr>
              <w:t>11 November</w:t>
            </w:r>
            <w:r>
              <w:rPr>
                <w:rFonts w:eastAsia="Calibri" w:cs="Arial"/>
                <w:color w:val="auto"/>
                <w:sz w:val="22"/>
                <w:lang w:eastAsia="en-US"/>
              </w:rPr>
              <w:t xml:space="preserve"> 2019</w:t>
            </w:r>
          </w:p>
        </w:tc>
        <w:tc>
          <w:tcPr>
            <w:tcW w:w="4818" w:type="dxa"/>
            <w:tcBorders>
              <w:top w:val="nil"/>
              <w:left w:val="nil"/>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 xml:space="preserve">Q2 Performance reports for </w:t>
            </w:r>
            <w:r w:rsidRPr="00C60BD3">
              <w:rPr>
                <w:rFonts w:eastAsia="Calibri" w:cs="Arial"/>
                <w:color w:val="auto"/>
                <w:sz w:val="22"/>
                <w:lang w:eastAsia="en-US"/>
              </w:rPr>
              <w:t>Oxford Direct Services</w:t>
            </w:r>
            <w:r w:rsidRPr="00B551BB">
              <w:rPr>
                <w:rFonts w:eastAsia="Calibri" w:cs="Arial"/>
                <w:color w:val="auto"/>
                <w:sz w:val="22"/>
                <w:lang w:eastAsia="en-US"/>
              </w:rPr>
              <w:t xml:space="preserve">, Housing Group, Barton and </w:t>
            </w:r>
            <w:proofErr w:type="spellStart"/>
            <w:r w:rsidRPr="00B551BB">
              <w:rPr>
                <w:rFonts w:eastAsia="Calibri" w:cs="Arial"/>
                <w:color w:val="auto"/>
                <w:sz w:val="22"/>
                <w:lang w:eastAsia="en-US"/>
              </w:rPr>
              <w:t>OxWED</w:t>
            </w:r>
            <w:proofErr w:type="spellEnd"/>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Any matters for shareholder decision or consideration</w:t>
            </w:r>
          </w:p>
        </w:tc>
      </w:tr>
      <w:tr w:rsidR="001A0E8F" w:rsidRPr="00B551BB" w:rsidTr="00765CAF">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lastRenderedPageBreak/>
              <w:t xml:space="preserve">17 March 2020 </w:t>
            </w:r>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6.00pm</w:t>
            </w:r>
          </w:p>
        </w:tc>
        <w:tc>
          <w:tcPr>
            <w:tcW w:w="1701" w:type="dxa"/>
            <w:tcBorders>
              <w:top w:val="single" w:sz="8" w:space="0" w:color="auto"/>
              <w:left w:val="nil"/>
              <w:bottom w:val="single" w:sz="8" w:space="0" w:color="auto"/>
              <w:right w:val="single" w:sz="8" w:space="0" w:color="auto"/>
            </w:tcBorders>
          </w:tcPr>
          <w:p w:rsidR="001A0E8F" w:rsidRPr="00B551BB" w:rsidRDefault="001A0E8F" w:rsidP="00BF7687">
            <w:pPr>
              <w:spacing w:after="0"/>
              <w:rPr>
                <w:rFonts w:eastAsia="Calibri" w:cs="Arial"/>
                <w:bCs/>
                <w:color w:val="auto"/>
                <w:sz w:val="22"/>
                <w:lang w:eastAsia="en-US"/>
              </w:rPr>
            </w:pPr>
            <w:r w:rsidRPr="00B551BB">
              <w:rPr>
                <w:rFonts w:eastAsia="Calibri" w:cs="Arial"/>
                <w:bCs/>
                <w:color w:val="auto"/>
                <w:sz w:val="22"/>
                <w:lang w:eastAsia="en-US"/>
              </w:rPr>
              <w:t>10 Mar</w:t>
            </w:r>
            <w:r>
              <w:rPr>
                <w:rFonts w:eastAsia="Calibri" w:cs="Arial"/>
                <w:bCs/>
                <w:color w:val="auto"/>
                <w:sz w:val="22"/>
                <w:lang w:eastAsia="en-US"/>
              </w:rPr>
              <w:t>ch 2020</w:t>
            </w:r>
            <w:r w:rsidRPr="00B551BB">
              <w:rPr>
                <w:rFonts w:eastAsia="Calibri" w:cs="Arial"/>
                <w:bCs/>
                <w:color w:val="auto"/>
                <w:sz w:val="22"/>
                <w:lang w:eastAsia="en-US"/>
              </w:rPr>
              <w:t xml:space="preserve"> (TBC) </w:t>
            </w:r>
          </w:p>
        </w:tc>
        <w:tc>
          <w:tcPr>
            <w:tcW w:w="1559" w:type="dxa"/>
            <w:tcBorders>
              <w:top w:val="single" w:sz="8" w:space="0" w:color="auto"/>
              <w:left w:val="single" w:sz="8" w:space="0" w:color="auto"/>
              <w:bottom w:val="single" w:sz="8" w:space="0" w:color="auto"/>
              <w:right w:val="single" w:sz="8" w:space="0" w:color="auto"/>
            </w:tcBorders>
          </w:tcPr>
          <w:p w:rsidR="001A0E8F" w:rsidRPr="00B551BB" w:rsidRDefault="001A0E8F" w:rsidP="00BF7687">
            <w:pPr>
              <w:spacing w:after="0"/>
              <w:rPr>
                <w:rFonts w:eastAsia="Calibri" w:cs="Arial"/>
                <w:color w:val="auto"/>
                <w:sz w:val="22"/>
                <w:lang w:eastAsia="en-US"/>
              </w:rPr>
            </w:pPr>
            <w:r w:rsidRPr="00B551BB">
              <w:rPr>
                <w:rFonts w:eastAsia="Calibri" w:cs="Arial"/>
                <w:color w:val="auto"/>
                <w:sz w:val="22"/>
                <w:lang w:eastAsia="en-US"/>
              </w:rPr>
              <w:t>9 March</w:t>
            </w:r>
            <w:r>
              <w:rPr>
                <w:rFonts w:eastAsia="Calibri" w:cs="Arial"/>
                <w:color w:val="auto"/>
                <w:sz w:val="22"/>
                <w:lang w:eastAsia="en-US"/>
              </w:rPr>
              <w:t xml:space="preserve"> 2020</w:t>
            </w:r>
          </w:p>
        </w:tc>
        <w:tc>
          <w:tcPr>
            <w:tcW w:w="4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 xml:space="preserve">Q3 Performance reports for </w:t>
            </w:r>
            <w:r w:rsidRPr="00C60BD3">
              <w:rPr>
                <w:rFonts w:eastAsia="Calibri" w:cs="Arial"/>
                <w:color w:val="auto"/>
                <w:sz w:val="22"/>
                <w:lang w:eastAsia="en-US"/>
              </w:rPr>
              <w:t>Oxford Direct Services</w:t>
            </w:r>
            <w:r w:rsidR="007B0BAB">
              <w:rPr>
                <w:rFonts w:eastAsia="Calibri" w:cs="Arial"/>
                <w:color w:val="auto"/>
                <w:sz w:val="22"/>
                <w:lang w:eastAsia="en-US"/>
              </w:rPr>
              <w:t>, Housing Group,</w:t>
            </w:r>
            <w:r w:rsidRPr="00B551BB">
              <w:rPr>
                <w:rFonts w:eastAsia="Calibri" w:cs="Arial"/>
                <w:color w:val="auto"/>
                <w:sz w:val="22"/>
                <w:lang w:eastAsia="en-US"/>
              </w:rPr>
              <w:t xml:space="preserve"> Barton</w:t>
            </w:r>
            <w:r w:rsidR="007B0BAB">
              <w:rPr>
                <w:rFonts w:eastAsia="Calibri" w:cs="Arial"/>
                <w:color w:val="auto"/>
                <w:sz w:val="22"/>
                <w:lang w:eastAsia="en-US"/>
              </w:rPr>
              <w:t xml:space="preserve"> and OxWED</w:t>
            </w:r>
            <w:bookmarkStart w:id="0" w:name="_GoBack"/>
            <w:bookmarkEnd w:id="0"/>
          </w:p>
          <w:p w:rsidR="001A0E8F" w:rsidRPr="00B551BB" w:rsidRDefault="001A0E8F" w:rsidP="00B551BB">
            <w:pPr>
              <w:spacing w:after="0"/>
              <w:rPr>
                <w:rFonts w:eastAsia="Calibri" w:cs="Arial"/>
                <w:color w:val="auto"/>
                <w:sz w:val="22"/>
                <w:lang w:eastAsia="en-US"/>
              </w:rPr>
            </w:pPr>
          </w:p>
          <w:p w:rsidR="001A0E8F" w:rsidRPr="00B551BB" w:rsidRDefault="001A0E8F" w:rsidP="00B551BB">
            <w:pPr>
              <w:spacing w:after="0"/>
              <w:rPr>
                <w:rFonts w:eastAsia="Calibri" w:cs="Arial"/>
                <w:color w:val="auto"/>
                <w:sz w:val="22"/>
                <w:lang w:eastAsia="en-US"/>
              </w:rPr>
            </w:pPr>
            <w:r w:rsidRPr="00B551BB">
              <w:rPr>
                <w:rFonts w:eastAsia="Calibri" w:cs="Arial"/>
                <w:color w:val="auto"/>
                <w:sz w:val="22"/>
                <w:lang w:eastAsia="en-US"/>
              </w:rPr>
              <w:t>Any matters for shareholder decision or consideration</w:t>
            </w:r>
          </w:p>
        </w:tc>
      </w:tr>
    </w:tbl>
    <w:p w:rsidR="00B551BB" w:rsidRDefault="00B551BB" w:rsidP="00B551BB"/>
    <w:p w:rsidR="001A0E8F" w:rsidRDefault="00C60BD3" w:rsidP="005470C1">
      <w:pPr>
        <w:pStyle w:val="ListParagraph"/>
      </w:pPr>
      <w:r w:rsidRPr="005470C1">
        <w:t>A</w:t>
      </w:r>
      <w:r w:rsidR="00B551BB" w:rsidRPr="005470C1">
        <w:t>t its first meeting on 23 July 2019 the Shareholder and Joint Venture Group will be asked to agree revised terms of reference</w:t>
      </w:r>
      <w:r w:rsidR="001A0E8F">
        <w:t xml:space="preserve"> to reflect the new </w:t>
      </w:r>
      <w:r w:rsidR="00E125A7">
        <w:t xml:space="preserve">meeting </w:t>
      </w:r>
      <w:r w:rsidR="001A0E8F">
        <w:t>arrangements</w:t>
      </w:r>
      <w:r w:rsidR="00B551BB" w:rsidRPr="005470C1">
        <w:t>.</w:t>
      </w:r>
      <w:r w:rsidR="005470C1">
        <w:t xml:space="preserve"> </w:t>
      </w:r>
    </w:p>
    <w:p w:rsidR="005470C1" w:rsidRDefault="001A0E8F" w:rsidP="005470C1">
      <w:pPr>
        <w:pStyle w:val="ListParagraph"/>
      </w:pPr>
      <w:r>
        <w:t>At meetings of the Shareholder and Joint Venture Group i</w:t>
      </w:r>
      <w:r w:rsidR="00EB785F">
        <w:t xml:space="preserve">t is envisaged that all public business will take place first, followed by </w:t>
      </w:r>
      <w:r w:rsidR="00D3233A">
        <w:t>any</w:t>
      </w:r>
      <w:r w:rsidR="00EB785F">
        <w:t xml:space="preserve"> private business for each company in turn. Members will be able to attend the public and private business of meetings.</w:t>
      </w:r>
    </w:p>
    <w:p w:rsidR="005470C1" w:rsidRDefault="005470C1" w:rsidP="005470C1">
      <w:pPr>
        <w:pStyle w:val="ListParagraph"/>
      </w:pPr>
      <w:r>
        <w:t>The Leader of the Council retains the ability to call additional meetings of the Shareholder and Joint Venture Group should the need arise</w:t>
      </w:r>
      <w:r w:rsidR="00EB785F">
        <w:t xml:space="preserve">, for example if there </w:t>
      </w:r>
      <w:r w:rsidR="001A0E8F">
        <w:t>i</w:t>
      </w:r>
      <w:r w:rsidR="00EB785F">
        <w:t>s a need for a shareholder decision that c</w:t>
      </w:r>
      <w:r w:rsidR="001A0E8F">
        <w:t>an</w:t>
      </w:r>
      <w:r w:rsidR="00EB785F">
        <w:t>not wait until the next scheduled quarterly meeting.</w:t>
      </w:r>
    </w:p>
    <w:p w:rsidR="00FF657E" w:rsidRPr="001356F1" w:rsidRDefault="00FF657E" w:rsidP="00FF65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F657E"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94512" w:rsidP="00FF657E">
            <w:r>
              <w:t xml:space="preserve">Committee and Members Services </w:t>
            </w:r>
            <w:r w:rsidR="00FF657E">
              <w:t>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94512"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F657E">
            <w:r w:rsidRPr="001356F1">
              <w:t xml:space="preserve">01865 </w:t>
            </w:r>
            <w:r w:rsidR="00794512">
              <w:t>2522</w:t>
            </w:r>
            <w:r w:rsidR="00FF657E">
              <w:t>30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B0BAB" w:rsidP="00FF657E">
            <w:pPr>
              <w:rPr>
                <w:rStyle w:val="Hyperlink"/>
                <w:color w:val="000000"/>
              </w:rPr>
            </w:pPr>
            <w:hyperlink r:id="rId9" w:history="1">
              <w:r w:rsidR="00FF657E" w:rsidRPr="005405D0">
                <w:rPr>
                  <w:rStyle w:val="Hyperlink"/>
                </w:rPr>
                <w:t>abrown2@oxford.gov.uk</w:t>
              </w:r>
            </w:hyperlink>
            <w:r w:rsidR="00794512">
              <w:rPr>
                <w:rStyle w:val="Hyperlink"/>
                <w:color w:val="000000"/>
              </w:rPr>
              <w:t xml:space="preserve"> </w:t>
            </w:r>
          </w:p>
        </w:tc>
      </w:tr>
    </w:tbl>
    <w:p w:rsidR="00433B96" w:rsidRPr="001356F1" w:rsidRDefault="00433B96" w:rsidP="004A6D2F"/>
    <w:sectPr w:rsidR="00433B96" w:rsidRPr="001356F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17" w:rsidRDefault="00541317" w:rsidP="004A6D2F">
      <w:r>
        <w:separator/>
      </w:r>
    </w:p>
  </w:endnote>
  <w:endnote w:type="continuationSeparator" w:id="0">
    <w:p w:rsidR="00541317" w:rsidRDefault="0054131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17" w:rsidRDefault="00541317" w:rsidP="004A6D2F">
      <w:r>
        <w:separator/>
      </w:r>
    </w:p>
  </w:footnote>
  <w:footnote w:type="continuationSeparator" w:id="0">
    <w:p w:rsidR="00541317" w:rsidRDefault="0054131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420BB" w:rsidP="00D5547E">
    <w:pPr>
      <w:pStyle w:val="Header"/>
      <w:jc w:val="right"/>
    </w:pPr>
    <w:r>
      <w:rPr>
        <w:noProof/>
      </w:rPr>
      <w:drawing>
        <wp:inline distT="0" distB="0" distL="0" distR="0">
          <wp:extent cx="836930" cy="1120775"/>
          <wp:effectExtent l="0" t="0" r="1270" b="317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0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615C03"/>
    <w:multiLevelType w:val="hybridMultilevel"/>
    <w:tmpl w:val="1DD0227C"/>
    <w:lvl w:ilvl="0" w:tplc="602A8580">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C0757F"/>
    <w:multiLevelType w:val="hybridMultilevel"/>
    <w:tmpl w:val="A9C46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37A9F"/>
    <w:multiLevelType w:val="hybridMultilevel"/>
    <w:tmpl w:val="CE38B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8271DD"/>
    <w:multiLevelType w:val="hybridMultilevel"/>
    <w:tmpl w:val="E18C44AA"/>
    <w:lvl w:ilvl="0" w:tplc="08090017">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8365C6"/>
    <w:multiLevelType w:val="multilevel"/>
    <w:tmpl w:val="E67CE66C"/>
    <w:numStyleLink w:val="StyleNumberedLeft0cmHanging075cm"/>
  </w:abstractNum>
  <w:num w:numId="1">
    <w:abstractNumId w:val="27"/>
  </w:num>
  <w:num w:numId="2">
    <w:abstractNumId w:val="33"/>
  </w:num>
  <w:num w:numId="3">
    <w:abstractNumId w:val="24"/>
  </w:num>
  <w:num w:numId="4">
    <w:abstractNumId w:val="19"/>
  </w:num>
  <w:num w:numId="5">
    <w:abstractNumId w:val="29"/>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lvlOverride w:ilvl="0">
      <w:lvl w:ilvl="0">
        <w:start w:val="1"/>
        <w:numFmt w:val="decimal"/>
        <w:pStyle w:val="ListParagraph"/>
        <w:lvlText w:val="%1."/>
        <w:lvlJc w:val="left"/>
        <w:pPr>
          <w:ind w:left="360" w:hanging="360"/>
        </w:pPr>
        <w:rPr>
          <w:rFonts w:ascii="Arial" w:hAnsi="Arial"/>
          <w:i w:val="0"/>
          <w:color w:val="000000"/>
          <w:sz w:val="24"/>
        </w:rPr>
      </w:lvl>
    </w:lvlOverride>
  </w:num>
  <w:num w:numId="15">
    <w:abstractNumId w:val="17"/>
  </w:num>
  <w:num w:numId="16">
    <w:abstractNumId w:val="11"/>
  </w:num>
  <w:num w:numId="17">
    <w:abstractNumId w:val="28"/>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5"/>
  </w:num>
  <w:num w:numId="36">
    <w:abstractNumId w:val="35"/>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A4"/>
    <w:rsid w:val="00001050"/>
    <w:rsid w:val="000035D3"/>
    <w:rsid w:val="000117D4"/>
    <w:rsid w:val="000314D7"/>
    <w:rsid w:val="00045F8B"/>
    <w:rsid w:val="00046D2B"/>
    <w:rsid w:val="00056263"/>
    <w:rsid w:val="00064D8A"/>
    <w:rsid w:val="00064F82"/>
    <w:rsid w:val="00066510"/>
    <w:rsid w:val="00077523"/>
    <w:rsid w:val="000A6F58"/>
    <w:rsid w:val="000C089F"/>
    <w:rsid w:val="000C3928"/>
    <w:rsid w:val="000C5E8E"/>
    <w:rsid w:val="000D5A17"/>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0E8F"/>
    <w:rsid w:val="001A13E6"/>
    <w:rsid w:val="001A5731"/>
    <w:rsid w:val="001A6139"/>
    <w:rsid w:val="001B42C3"/>
    <w:rsid w:val="001C5D5E"/>
    <w:rsid w:val="001D678D"/>
    <w:rsid w:val="001E03F8"/>
    <w:rsid w:val="001E1678"/>
    <w:rsid w:val="001E3376"/>
    <w:rsid w:val="002069B3"/>
    <w:rsid w:val="002329CF"/>
    <w:rsid w:val="00232F5B"/>
    <w:rsid w:val="00241380"/>
    <w:rsid w:val="00247C29"/>
    <w:rsid w:val="00260467"/>
    <w:rsid w:val="00263EA3"/>
    <w:rsid w:val="00274EDB"/>
    <w:rsid w:val="00284F85"/>
    <w:rsid w:val="00290915"/>
    <w:rsid w:val="002A22E2"/>
    <w:rsid w:val="002C64F7"/>
    <w:rsid w:val="002F41F2"/>
    <w:rsid w:val="00301BF3"/>
    <w:rsid w:val="0030208D"/>
    <w:rsid w:val="003151D1"/>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11E0"/>
    <w:rsid w:val="004D2626"/>
    <w:rsid w:val="004D6E26"/>
    <w:rsid w:val="004D77D3"/>
    <w:rsid w:val="004E2959"/>
    <w:rsid w:val="004F20EF"/>
    <w:rsid w:val="0050321C"/>
    <w:rsid w:val="00541317"/>
    <w:rsid w:val="005420BB"/>
    <w:rsid w:val="0054549F"/>
    <w:rsid w:val="005470C1"/>
    <w:rsid w:val="0054712D"/>
    <w:rsid w:val="00547EF6"/>
    <w:rsid w:val="005570B5"/>
    <w:rsid w:val="00567E18"/>
    <w:rsid w:val="00575F5F"/>
    <w:rsid w:val="00581805"/>
    <w:rsid w:val="00585F76"/>
    <w:rsid w:val="00592D25"/>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0880"/>
    <w:rsid w:val="006D17B1"/>
    <w:rsid w:val="006D4752"/>
    <w:rsid w:val="006D708A"/>
    <w:rsid w:val="006E14C1"/>
    <w:rsid w:val="006F0292"/>
    <w:rsid w:val="006F27FA"/>
    <w:rsid w:val="006F416B"/>
    <w:rsid w:val="006F519B"/>
    <w:rsid w:val="00713675"/>
    <w:rsid w:val="00715823"/>
    <w:rsid w:val="00737B93"/>
    <w:rsid w:val="00745BF0"/>
    <w:rsid w:val="00755577"/>
    <w:rsid w:val="007615FE"/>
    <w:rsid w:val="00765CAF"/>
    <w:rsid w:val="0076655C"/>
    <w:rsid w:val="007742DC"/>
    <w:rsid w:val="00791437"/>
    <w:rsid w:val="00794512"/>
    <w:rsid w:val="007A5396"/>
    <w:rsid w:val="007B0BAB"/>
    <w:rsid w:val="007B0C2C"/>
    <w:rsid w:val="007B278E"/>
    <w:rsid w:val="007C5C23"/>
    <w:rsid w:val="007D56F5"/>
    <w:rsid w:val="007E2A26"/>
    <w:rsid w:val="007F2348"/>
    <w:rsid w:val="007F5D94"/>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B65F4"/>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432F7"/>
    <w:rsid w:val="00B500CA"/>
    <w:rsid w:val="00B551BB"/>
    <w:rsid w:val="00B86314"/>
    <w:rsid w:val="00BA1C2E"/>
    <w:rsid w:val="00BA4392"/>
    <w:rsid w:val="00BC200B"/>
    <w:rsid w:val="00BC4756"/>
    <w:rsid w:val="00BC69A4"/>
    <w:rsid w:val="00BE0680"/>
    <w:rsid w:val="00BE305F"/>
    <w:rsid w:val="00BE7BA3"/>
    <w:rsid w:val="00BF5682"/>
    <w:rsid w:val="00BF7B09"/>
    <w:rsid w:val="00C20A95"/>
    <w:rsid w:val="00C2692F"/>
    <w:rsid w:val="00C3207C"/>
    <w:rsid w:val="00C34FA4"/>
    <w:rsid w:val="00C400E1"/>
    <w:rsid w:val="00C41187"/>
    <w:rsid w:val="00C60BD3"/>
    <w:rsid w:val="00C63C31"/>
    <w:rsid w:val="00C75711"/>
    <w:rsid w:val="00C757A0"/>
    <w:rsid w:val="00C760DE"/>
    <w:rsid w:val="00C82630"/>
    <w:rsid w:val="00C85B4E"/>
    <w:rsid w:val="00C907F7"/>
    <w:rsid w:val="00CA2103"/>
    <w:rsid w:val="00CA4903"/>
    <w:rsid w:val="00CB20EB"/>
    <w:rsid w:val="00CB6B99"/>
    <w:rsid w:val="00CE02A3"/>
    <w:rsid w:val="00CE4C87"/>
    <w:rsid w:val="00CE544A"/>
    <w:rsid w:val="00D11E1C"/>
    <w:rsid w:val="00D160B0"/>
    <w:rsid w:val="00D17F94"/>
    <w:rsid w:val="00D223FC"/>
    <w:rsid w:val="00D26D1E"/>
    <w:rsid w:val="00D3233A"/>
    <w:rsid w:val="00D474CF"/>
    <w:rsid w:val="00D5547E"/>
    <w:rsid w:val="00D869A1"/>
    <w:rsid w:val="00DA1A30"/>
    <w:rsid w:val="00DA413F"/>
    <w:rsid w:val="00DA4584"/>
    <w:rsid w:val="00DA614B"/>
    <w:rsid w:val="00DC3060"/>
    <w:rsid w:val="00DE0FB2"/>
    <w:rsid w:val="00DF093E"/>
    <w:rsid w:val="00E00DC7"/>
    <w:rsid w:val="00E01F42"/>
    <w:rsid w:val="00E125A7"/>
    <w:rsid w:val="00E206D6"/>
    <w:rsid w:val="00E3366E"/>
    <w:rsid w:val="00E52086"/>
    <w:rsid w:val="00E543A6"/>
    <w:rsid w:val="00E60479"/>
    <w:rsid w:val="00E61D73"/>
    <w:rsid w:val="00E73684"/>
    <w:rsid w:val="00E818D6"/>
    <w:rsid w:val="00E87F7A"/>
    <w:rsid w:val="00E96BD7"/>
    <w:rsid w:val="00EA0DB1"/>
    <w:rsid w:val="00EA0EE9"/>
    <w:rsid w:val="00EB785F"/>
    <w:rsid w:val="00ED52CA"/>
    <w:rsid w:val="00ED5860"/>
    <w:rsid w:val="00EE35C9"/>
    <w:rsid w:val="00EF33AD"/>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7A53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Strong">
    <w:name w:val="Strong"/>
    <w:basedOn w:val="DefaultParagraphFont"/>
    <w:uiPriority w:val="22"/>
    <w:qFormat/>
    <w:rsid w:val="007A5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rown2@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A0B5-A754-4CEA-A963-B32B93EC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7E516B6B</Template>
  <TotalTime>1</TotalTime>
  <Pages>3</Pages>
  <Words>893</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abrown2</cp:lastModifiedBy>
  <cp:revision>3</cp:revision>
  <cp:lastPrinted>2015-07-03T12:50:00Z</cp:lastPrinted>
  <dcterms:created xsi:type="dcterms:W3CDTF">2019-07-10T09:05:00Z</dcterms:created>
  <dcterms:modified xsi:type="dcterms:W3CDTF">2019-07-10T10:16:00Z</dcterms:modified>
</cp:coreProperties>
</file>